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52" w:rsidRDefault="00A2368B" w:rsidP="00232952">
      <w:pPr>
        <w:pStyle w:val="ae"/>
        <w:shd w:val="clear" w:color="auto" w:fill="FFFFFF"/>
        <w:spacing w:before="0" w:beforeAutospacing="0"/>
        <w:contextualSpacing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b/>
          <w:bCs/>
          <w:color w:val="333333"/>
          <w:sz w:val="28"/>
          <w:szCs w:val="28"/>
          <w:shd w:val="clear" w:color="auto" w:fill="FFFFFF"/>
        </w:rPr>
        <w:t xml:space="preserve">Тема: </w:t>
      </w:r>
      <w:r w:rsidR="00232952" w:rsidRPr="00232952">
        <w:rPr>
          <w:b/>
          <w:bCs/>
          <w:color w:val="333333"/>
          <w:sz w:val="28"/>
          <w:szCs w:val="28"/>
          <w:shd w:val="clear" w:color="auto" w:fill="FFFFFF"/>
        </w:rPr>
        <w:t>Изменены правила расчета процентов при предоставлении рассрочки платежей по оплате коммунальных услуг </w:t>
      </w:r>
    </w:p>
    <w:bookmarkEnd w:id="0"/>
    <w:p w:rsidR="00232952" w:rsidRPr="00232952" w:rsidRDefault="00232952" w:rsidP="00232952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Постановлением Правительства Российской Федерации от 28.04.2022 № 763 в п.72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внесены изменения, касающиеся порядка расчета размера процентов за предоставленную потребителю рассрочку платежей за оказанные коммунальные услуги.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Установлено, что при расчете размера рассрочки оплаты коммунальных услуг применяется ключевая ставка Банка России, действующая по состоянию на 27 февраля 2022 года, которая составила 9,5%.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Эта норма распространяется на отношения, возникшие с 28 февраля 2022 года, что дает возможность обратиться за перерасчетом в том случае, если в этот период потребителю уже была предоставлена рассрочка, рассчитанная по действующей ключевой ставке Банка России.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Особый порядок расчета рассрочки будет действовать до конца 2022 года.</w:t>
      </w:r>
    </w:p>
    <w:p w:rsidR="001F69F8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14EE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368B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2022-05-12T16:42:00Z</dcterms:created>
  <dcterms:modified xsi:type="dcterms:W3CDTF">2022-05-16T04:48:00Z</dcterms:modified>
</cp:coreProperties>
</file>